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85C33">
      <w:pPr>
        <w:spacing w:after="0" w:line="240" w:lineRule="auto"/>
        <w:jc w:val="thaiDistribute"/>
        <w:rPr>
          <w:rFonts w:hint="default" w:ascii="TH Sarabun New" w:hAnsi="TH Sarabun New" w:cs="TH Sarabun New"/>
          <w:b/>
          <w:bCs/>
          <w:color w:val="FFFFFF" w:themeColor="background1"/>
          <w:sz w:val="32"/>
          <w:szCs w:val="32"/>
          <w14:textFill>
            <w14:solidFill>
              <w14:schemeClr w14:val="bg1"/>
            </w14:solidFill>
          </w14:textFill>
        </w:rPr>
      </w:pPr>
      <w:r>
        <w:rPr>
          <w:rFonts w:hint="default" w:ascii="TH Sarabun New" w:hAnsi="TH Sarabun New" w:cs="TH Sarabun New"/>
          <w:b/>
          <w:bCs/>
          <w:color w:val="FFFFFF" w:themeColor="background1"/>
          <w:sz w:val="32"/>
          <w:szCs w:val="32"/>
          <w:cs/>
          <w14:textFill>
            <w14:solidFill>
              <w14:schemeClr w14:val="bg1"/>
            </w14:solidFill>
          </w14:textFill>
        </w:rPr>
        <w:t>..</w:t>
      </w:r>
    </w:p>
    <w:p w14:paraId="01579D4B">
      <w:pPr>
        <w:spacing w:after="0" w:line="240" w:lineRule="auto"/>
        <w:jc w:val="center"/>
        <w:rPr>
          <w:rFonts w:hint="default" w:ascii="TH Sarabun New" w:hAnsi="TH Sarabun New" w:cs="TH Sarabun New"/>
          <w:b/>
          <w:bCs/>
          <w:color w:val="FFFFFF" w:themeColor="background1"/>
          <w:sz w:val="32"/>
          <w:szCs w:val="32"/>
          <w14:textFill>
            <w14:solidFill>
              <w14:schemeClr w14:val="bg1"/>
            </w14:solidFill>
          </w14:textFill>
        </w:rPr>
      </w:pPr>
      <w:r>
        <w:rPr>
          <w:rFonts w:hint="default" w:ascii="TH Sarabun New" w:hAnsi="TH Sarabun New" w:cs="TH Sarabun New"/>
        </w:rPr>
        <w:drawing>
          <wp:anchor distT="0" distB="0" distL="114300" distR="114300" simplePos="0" relativeHeight="251659264" behindDoc="0" locked="0" layoutInCell="1" allowOverlap="1">
            <wp:simplePos x="0" y="0"/>
            <wp:positionH relativeFrom="column">
              <wp:posOffset>2534285</wp:posOffset>
            </wp:positionH>
            <wp:positionV relativeFrom="paragraph">
              <wp:posOffset>57785</wp:posOffset>
            </wp:positionV>
            <wp:extent cx="648970" cy="709930"/>
            <wp:effectExtent l="0" t="0" r="0" b="0"/>
            <wp:wrapNone/>
            <wp:docPr id="3" name="รูปภาพ 1" descr="ครุฑ (โปร่งใ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รูปภาพ 1" descr="ครุฑ (โปร่งใส)"/>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48970" cy="709930"/>
                    </a:xfrm>
                    <a:prstGeom prst="rect">
                      <a:avLst/>
                    </a:prstGeom>
                    <a:noFill/>
                  </pic:spPr>
                </pic:pic>
              </a:graphicData>
            </a:graphic>
          </wp:anchor>
        </w:drawing>
      </w:r>
      <w:r>
        <w:rPr>
          <w:rFonts w:hint="default" w:ascii="TH Sarabun New" w:hAnsi="TH Sarabun New" w:cs="TH Sarabun New"/>
          <w:b/>
          <w:bCs/>
          <w:color w:val="FFFFFF" w:themeColor="background1"/>
          <w:sz w:val="32"/>
          <w:szCs w:val="32"/>
          <w:cs/>
          <w:lang w:val="th-TH" w:bidi="th-TH"/>
          <w14:textFill>
            <w14:solidFill>
              <w14:schemeClr w14:val="bg1"/>
            </w14:solidFill>
          </w14:textFill>
        </w:rPr>
        <w:t xml:space="preserve">เรื่อง นโยบายต่อต้านการรับสินบน </w:t>
      </w:r>
    </w:p>
    <w:p w14:paraId="20F0CDE8">
      <w:pPr>
        <w:spacing w:after="0" w:line="240" w:lineRule="auto"/>
        <w:jc w:val="center"/>
        <w:rPr>
          <w:rFonts w:hint="default" w:ascii="TH Sarabun New" w:hAnsi="TH Sarabun New" w:cs="TH Sarabun New"/>
          <w:b/>
          <w:bCs/>
          <w:color w:val="FFFFFF" w:themeColor="background1"/>
          <w:sz w:val="32"/>
          <w:szCs w:val="32"/>
          <w:cs/>
          <w14:textFill>
            <w14:solidFill>
              <w14:schemeClr w14:val="bg1"/>
            </w14:solidFill>
          </w14:textFill>
        </w:rPr>
      </w:pPr>
      <w:r>
        <w:rPr>
          <w:rFonts w:hint="default" w:ascii="TH Sarabun New" w:hAnsi="TH Sarabun New" w:cs="TH Sarabun New"/>
          <w:b/>
          <w:bCs/>
          <w:color w:val="FFFFFF" w:themeColor="background1"/>
          <w:sz w:val="32"/>
          <w:szCs w:val="32"/>
          <w:cs/>
          <w14:textFill>
            <w14:solidFill>
              <w14:schemeClr w14:val="bg1"/>
            </w14:solidFill>
          </w14:textFill>
        </w:rPr>
        <w:t>(</w:t>
      </w:r>
      <w:r>
        <w:rPr>
          <w:rFonts w:hint="default" w:ascii="TH Sarabun New" w:hAnsi="TH Sarabun New" w:cs="TH Sarabun New"/>
          <w:b/>
          <w:bCs/>
          <w:color w:val="FFFFFF" w:themeColor="background1"/>
          <w:sz w:val="32"/>
          <w:szCs w:val="32"/>
          <w14:textFill>
            <w14:solidFill>
              <w14:schemeClr w14:val="bg1"/>
            </w14:solidFill>
          </w14:textFill>
        </w:rPr>
        <w:t>Anti-Bribery Policy</w:t>
      </w:r>
    </w:p>
    <w:p w14:paraId="210E5689">
      <w:pPr>
        <w:spacing w:line="240" w:lineRule="auto"/>
        <w:jc w:val="center"/>
        <w:rPr>
          <w:rFonts w:hint="default" w:ascii="TH Sarabun New" w:hAnsi="TH Sarabun New" w:cs="TH Sarabun New"/>
          <w:b/>
          <w:bCs/>
          <w:sz w:val="32"/>
          <w:szCs w:val="32"/>
        </w:rPr>
      </w:pPr>
    </w:p>
    <w:p w14:paraId="7B1E218F">
      <w:pPr>
        <w:shd w:val="clear" w:color="auto" w:fill="FFFFFF"/>
        <w:spacing w:after="0" w:line="240" w:lineRule="auto"/>
        <w:jc w:val="center"/>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Announcement of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 xml:space="preserve">Subject: Anti-Bribery Policy (Anti-Bribery Policy) </w:t>
      </w:r>
    </w:p>
    <w:p w14:paraId="3792623E">
      <w:pPr>
        <w:shd w:val="clear" w:color="auto" w:fill="FFFFFF"/>
        <w:spacing w:after="0" w:line="240" w:lineRule="auto"/>
        <w:jc w:val="center"/>
        <w:rPr>
          <w:rFonts w:hint="default" w:ascii="TH Sarabun New" w:hAnsi="TH Sarabun New" w:eastAsia="Times New Roman" w:cs="TH Sarabun New"/>
          <w:color w:val="000000"/>
          <w:sz w:val="27"/>
          <w:szCs w:val="27"/>
        </w:rPr>
      </w:pPr>
      <w:r>
        <w:rPr>
          <w:rFonts w:hint="default" w:ascii="TH Sarabun New" w:hAnsi="TH Sarabun New" w:eastAsia="Times New Roman" w:cs="TH Sarabun New"/>
          <w:color w:val="000000"/>
          <w:sz w:val="32"/>
          <w:szCs w:val="32"/>
        </w:rPr>
        <w:t>Fiscal Year 202</w:t>
      </w:r>
      <w:r>
        <w:rPr>
          <w:rFonts w:hint="default" w:ascii="TH Sarabun New" w:hAnsi="TH Sarabun New" w:eastAsia="Times New Roman" w:cs="TH Sarabun New"/>
          <w:color w:val="000000"/>
          <w:sz w:val="32"/>
          <w:szCs w:val="32"/>
          <w:lang w:val="en-US"/>
        </w:rPr>
        <w:t>6</w:t>
      </w:r>
      <w:r>
        <w:rPr>
          <w:rFonts w:hint="default" w:ascii="TH Sarabun New" w:hAnsi="TH Sarabun New" w:eastAsia="Times New Roman" w:cs="TH Sarabun New"/>
          <w:color w:val="000000"/>
          <w:sz w:val="27"/>
          <w:szCs w:val="27"/>
        </w:rPr>
        <w:br w:type="textWrapping"/>
      </w:r>
      <w:r>
        <w:rPr>
          <w:rFonts w:hint="default" w:ascii="TH Sarabun New" w:hAnsi="TH Sarabun New" w:eastAsia="Times New Roman" w:cs="TH Sarabun New"/>
          <w:color w:val="000000"/>
          <w:sz w:val="27"/>
          <w:szCs w:val="27"/>
        </w:rPr>
        <w:t>.....................................................................</w:t>
      </w:r>
    </w:p>
    <w:p w14:paraId="1932DF7D">
      <w:pPr>
        <w:ind w:firstLine="720"/>
        <w:jc w:val="thaiDistribute"/>
        <w:rPr>
          <w:rFonts w:hint="default" w:ascii="TH Sarabun New" w:hAnsi="TH Sarabun New" w:cs="TH Sarabun New"/>
          <w:sz w:val="32"/>
          <w:szCs w:val="40"/>
        </w:rPr>
      </w:pPr>
      <w:r>
        <w:rPr>
          <w:rFonts w:hint="default" w:ascii="TH Sarabun New" w:hAnsi="TH Sarabun New" w:cs="TH Sarabun New"/>
          <w:sz w:val="32"/>
          <w:szCs w:val="40"/>
        </w:rPr>
        <w:t>According to the Organic Act on the Prevention and Suppression of Corruption B.E.2561 Section 128 paragraph one prescribes that any state official is prohibited from accepting assets or any other benefits that may be calculated as money from anyone. In addition to assets or benefits that are legitimate by laws, rules or regulations, issued by virtue of the provisions of law Unless accepting property or any other benefits by morality according to the criteria and amount prescribed by the NACC. and the Code of Ethics of Police Officers, 2021, Article 2(2) with honesty. perform legal duties Regulations of the Royal Thai Police with transparency Do not show behavior that implies exploitation. Responsible for human rights duties. Be ready to be audited and liable, have a good conscience Considering the society and Article 2(4), thinking of the public interest rather than the personal benefit, having a public mind, cooperating and sacrificing for the benefit of the public. And createbenefits and happiness for society, together with a national reform plan for the prevention and suppression of corruption and misconduct. (Revised version) Determine important reform activities. Activity 4: Develop the Thai bureaucratic system to be transparent and useless. Goal 1, item 1.1, is for every government agency to announce that all government officials will not accept all kinds of gifts and gratuities from Duties (No Gift Policy)</w:t>
      </w:r>
    </w:p>
    <w:p w14:paraId="1F494869">
      <w:pPr>
        <w:shd w:val="clear" w:color="auto" w:fill="FFFFFF"/>
        <w:spacing w:after="0" w:line="240" w:lineRule="auto"/>
        <w:ind w:firstLine="720"/>
        <w:jc w:val="thaiDistribute"/>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Therefore, in order to prevent conflicts of interest between one's own interests and common interests, accepting bribes, gifts, tokens or any other benefits that affect the performance of duties of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Therefore, guidelines for anti-bribery have been established. (Anti-Bribery Policy) and do not accept gifts, tokens or any other benefits (No Gift Policy) from performing duties. The details are as follows:</w:t>
      </w:r>
    </w:p>
    <w:p w14:paraId="7F214B81">
      <w:pPr>
        <w:shd w:val="clear" w:color="auto" w:fill="FFFFFF"/>
        <w:spacing w:after="0" w:line="240" w:lineRule="auto"/>
        <w:jc w:val="thaiDistribute"/>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objective</w:t>
      </w:r>
    </w:p>
    <w:p w14:paraId="74B695F1">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1. To prevent or reduce the opportunity to accept bribes. Conflicts of interest in various forms for police officers under the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w:t>
      </w:r>
    </w:p>
    <w:p w14:paraId="10D2C98A">
      <w:pPr>
        <w:shd w:val="clear" w:color="auto" w:fill="FFFFFF"/>
        <w:spacing w:after="0" w:line="240" w:lineRule="auto"/>
        <w:ind w:firstLine="709"/>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2. To encourage police officers under the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have a sense of Refusal to accept gifts and gratuities of any kind from performing duties.</w:t>
      </w:r>
    </w:p>
    <w:p w14:paraId="4B8C44AD">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3. To build a corporate culture of integrity and transparency. (Organization of</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Integrity) of the system Government to be strong and sustainable</w:t>
      </w:r>
    </w:p>
    <w:p w14:paraId="732FCEE3">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4. To determine measures guidelines andmechanismstopreventgiving/receiving bribery or benefits any other</w:t>
      </w:r>
    </w:p>
    <w:p w14:paraId="59FB4679">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5. To set guidelines for accepting fees, entertainment or gifts of executives and police officers in Under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comply with relevant laws and regulations</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 xml:space="preserve">           6. To support and enhance the implementation of the national strategy the master plan under national strategy and a national reform plan for the prevention and suppression of corruption and misconduct it is also part of the Integrity and Transparency Assessment Guidelines in Government Agencies (ITA)</w:t>
      </w:r>
    </w:p>
    <w:p w14:paraId="7C2BDD15">
      <w:pPr>
        <w:shd w:val="clear" w:color="auto" w:fill="FFFFFF"/>
        <w:spacing w:after="0" w:line="240" w:lineRule="auto"/>
        <w:ind w:firstLine="709"/>
        <w:rPr>
          <w:rFonts w:hint="default" w:ascii="TH Sarabun New" w:hAnsi="TH Sarabun New" w:eastAsia="Times New Roman" w:cs="TH Sarabun New"/>
          <w:color w:val="000000"/>
          <w:sz w:val="32"/>
          <w:szCs w:val="32"/>
        </w:rPr>
      </w:pPr>
    </w:p>
    <w:p w14:paraId="7316D019">
      <w:pPr>
        <w:shd w:val="clear" w:color="auto" w:fill="FFFFFF"/>
        <w:spacing w:after="0" w:line="240" w:lineRule="auto"/>
        <w:jc w:val="both"/>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Scope of application</w:t>
      </w:r>
    </w:p>
    <w:p w14:paraId="66917F3D">
      <w:pPr>
        <w:shd w:val="clear" w:color="auto" w:fill="FFFFFF"/>
        <w:spacing w:after="0" w:line="240" w:lineRule="auto"/>
        <w:ind w:firstLine="709"/>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applicable to subordinate police officers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all officers</w:t>
      </w:r>
    </w:p>
    <w:p w14:paraId="713ECA64">
      <w:pPr>
        <w:shd w:val="clear" w:color="auto" w:fill="FFFFFF"/>
        <w:spacing w:after="0" w:line="240" w:lineRule="auto"/>
        <w:jc w:val="both"/>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 xml:space="preserve">Definition </w:t>
      </w:r>
    </w:p>
    <w:p w14:paraId="39F50F2E">
      <w:pPr>
        <w:shd w:val="clear" w:color="auto" w:fill="FFFFFF"/>
        <w:spacing w:after="0" w:line="240" w:lineRule="auto"/>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b/>
          <w:bCs/>
          <w:color w:val="000000"/>
          <w:sz w:val="32"/>
          <w:szCs w:val="32"/>
        </w:rPr>
        <w:tab/>
      </w:r>
      <w:r>
        <w:rPr>
          <w:rFonts w:hint="default" w:ascii="TH Sarabun New" w:hAnsi="TH Sarabun New" w:eastAsia="Times New Roman" w:cs="TH Sarabun New"/>
          <w:color w:val="000000"/>
          <w:sz w:val="32"/>
          <w:szCs w:val="32"/>
        </w:rPr>
        <w:t>"Bribe" means property or other benefits given to a person in order for that person</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to act or refrain from taking any action in the position regardless of whether it is legitimate or</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unlawful as desired by the payer of bribes</w:t>
      </w:r>
    </w:p>
    <w:p w14:paraId="5F89618C">
      <w:pPr>
        <w:shd w:val="clear" w:color="auto" w:fill="FFFFFF"/>
        <w:spacing w:after="0" w:line="240" w:lineRule="auto"/>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ab/>
      </w:r>
      <w:r>
        <w:rPr>
          <w:rFonts w:hint="default" w:ascii="TH Sarabun New" w:hAnsi="TH Sarabun New" w:eastAsia="Times New Roman" w:cs="TH Sarabun New"/>
          <w:color w:val="000000"/>
          <w:sz w:val="32"/>
          <w:szCs w:val="32"/>
        </w:rPr>
        <w:t>"Gifts, gratuities or any other benefits that affect the performance of duties" means money, assets, services or any other benefits that have value and include tips, whereby government officials receive in addition to salaries, income, benefits from government service in normal cases and affecting decisions, approvals, permissions or any other acts in the performance of duties in a manner that facilitates dishonest benefits to the donor Presents either in the past or while receiving them or in the future.</w:t>
      </w:r>
    </w:p>
    <w:p w14:paraId="488E125D">
      <w:pPr>
        <w:shd w:val="clear" w:color="auto" w:fill="FFFFFF"/>
        <w:spacing w:after="0" w:line="240" w:lineRule="auto"/>
        <w:ind w:firstLine="709"/>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"Property" means things and intangible objects, which may have a price and maybe held such as money, houses, cars, stocks</w:t>
      </w:r>
    </w:p>
    <w:p w14:paraId="7217306E">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"Receiving property or any other benefit on an ethical basis" means accepting property or Any other benefits from relatives or persons given to each other on various occasions, usually according to customs, traditions or culture, or given according to the mannerspracticed in society.</w:t>
      </w:r>
    </w:p>
    <w:p w14:paraId="57C43232">
      <w:pPr>
        <w:shd w:val="clear" w:color="auto" w:fill="FFFFFF"/>
        <w:spacing w:after="0" w:line="240" w:lineRule="auto"/>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ab/>
      </w:r>
      <w:r>
        <w:rPr>
          <w:rFonts w:hint="default" w:ascii="TH Sarabun New" w:hAnsi="TH Sarabun New" w:eastAsia="Times New Roman" w:cs="TH Sarabun New"/>
          <w:color w:val="000000"/>
          <w:sz w:val="32"/>
          <w:szCs w:val="32"/>
        </w:rPr>
        <w:t>"relatives" means ascendants, descendants, brothers and sisters or joint father ormother Same uncle, aunt, aunt, spouse, ascendant or descendant of spouse Adopted child or adoptee</w:t>
      </w:r>
    </w:p>
    <w:p w14:paraId="399D9246">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"Any other benefit" means something of value, i.e. a discount, receiving entertainment,receiving service, training or anything else in the same way</w:t>
      </w:r>
    </w:p>
    <w:p w14:paraId="658BD85B">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"Performance of duty" means an act or performance of duty by a government official. in an appointed position or assigned to perform any duty or to act instead in any of the duties, both general and specific, as a police officer as stipulated by law The powers and duties or actions according to the powers and duties specified by law to have the authority of the police </w:t>
      </w:r>
    </w:p>
    <w:p w14:paraId="29BFD4C4">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"Supervisor" means a person who has the authority to direct, supervise, monitor and Check out the police officers under the jurisdiction.</w:t>
      </w:r>
    </w:p>
    <w:p w14:paraId="2B7AB0D4">
      <w:pPr>
        <w:shd w:val="clear" w:color="auto" w:fill="FFFFFF"/>
        <w:spacing w:after="0" w:line="240" w:lineRule="auto"/>
        <w:ind w:firstLine="709"/>
        <w:jc w:val="thaiDistribute"/>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"Subordinate" means a police officer under his affiliation.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w:t>
      </w:r>
      <w:r>
        <w:rPr>
          <w:rFonts w:hint="default" w:ascii="TH Sarabun New" w:hAnsi="TH Sarabun New" w:eastAsia="Times New Roman" w:cs="TH Sarabun New"/>
          <w:color w:val="FFFFFF" w:themeColor="background1"/>
          <w:sz w:val="32"/>
          <w:szCs w:val="32"/>
          <w14:textFill>
            <w14:solidFill>
              <w14:schemeClr w14:val="bg1"/>
            </w14:solidFill>
          </w14:textFill>
        </w:rPr>
        <w:t>.</w:t>
      </w:r>
      <w:r>
        <w:rPr>
          <w:rFonts w:hint="default" w:ascii="TH Sarabun New" w:hAnsi="TH Sarabun New" w:eastAsia="Times New Roman" w:cs="TH Sarabun New"/>
          <w:color w:val="000000"/>
          <w:sz w:val="32"/>
          <w:szCs w:val="32"/>
        </w:rPr>
        <w:t>Police</w:t>
      </w:r>
      <w:r>
        <w:rPr>
          <w:rFonts w:hint="default" w:ascii="TH Sarabun New" w:hAnsi="TH Sarabun New" w:eastAsia="Times New Roman" w:cs="TH Sarabun New"/>
          <w:color w:val="FFFFFF" w:themeColor="background1"/>
          <w:sz w:val="32"/>
          <w:szCs w:val="32"/>
          <w14:textFill>
            <w14:solidFill>
              <w14:schemeClr w14:val="bg1"/>
            </w14:solidFill>
          </w14:textFill>
        </w:rPr>
        <w:t>.</w:t>
      </w:r>
      <w:r>
        <w:rPr>
          <w:rFonts w:hint="default" w:ascii="TH Sarabun New" w:hAnsi="TH Sarabun New" w:eastAsia="Times New Roman" w:cs="TH Sarabun New"/>
          <w:color w:val="000000"/>
          <w:sz w:val="32"/>
          <w:szCs w:val="32"/>
        </w:rPr>
        <w:t>Station</w:t>
      </w:r>
      <w:r>
        <w:rPr>
          <w:rFonts w:hint="default" w:ascii="TH Sarabun New" w:hAnsi="TH Sarabun New" w:eastAsia="Times New Roman" w:cs="TH Sarabun New"/>
          <w:color w:val="FFFFFF" w:themeColor="background1"/>
          <w:sz w:val="32"/>
          <w:szCs w:val="32"/>
          <w14:textFill>
            <w14:solidFill>
              <w14:schemeClr w14:val="bg1"/>
            </w14:solidFill>
          </w14:textFill>
        </w:rPr>
        <w:t>,</w:t>
      </w:r>
      <w:r>
        <w:rPr>
          <w:rFonts w:hint="default" w:ascii="TH Sarabun New" w:hAnsi="TH Sarabun New" w:eastAsia="Times New Roman" w:cs="TH Sarabun New"/>
          <w:color w:val="000000"/>
          <w:sz w:val="32"/>
          <w:szCs w:val="32"/>
        </w:rPr>
        <w:t xml:space="preserve">all officers besides the commander </w:t>
      </w:r>
    </w:p>
    <w:p w14:paraId="39CD5AFA">
      <w:pPr>
        <w:shd w:val="clear" w:color="auto" w:fill="FFFFFF"/>
        <w:spacing w:after="0" w:line="240" w:lineRule="auto"/>
        <w:ind w:firstLine="709"/>
        <w:jc w:val="thaiDistribute"/>
        <w:rPr>
          <w:rFonts w:hint="default" w:ascii="TH Sarabun New" w:hAnsi="TH Sarabun New" w:eastAsia="Times New Roman" w:cs="TH Sarabun New"/>
          <w:color w:val="000000"/>
          <w:sz w:val="32"/>
          <w:szCs w:val="32"/>
        </w:rPr>
      </w:pPr>
    </w:p>
    <w:p w14:paraId="21351812">
      <w:pPr>
        <w:shd w:val="clear" w:color="auto" w:fill="FFFFFF"/>
        <w:spacing w:after="0" w:line="240" w:lineRule="auto"/>
        <w:jc w:val="both"/>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Anti-Bribery Guidelines</w:t>
      </w:r>
    </w:p>
    <w:p w14:paraId="68F27855">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1. Police officers under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are prohibited from Get involved in giving or accepting any form of bribery whether directly or indirectly.</w:t>
      </w:r>
    </w:p>
    <w:p w14:paraId="2BB03587">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2. Police officers under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are prohibited from soliciting or accepting bribes for personal gain, or the benefit of other persons</w:t>
      </w:r>
    </w:p>
    <w:p w14:paraId="02C2DFD3">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3. To comply with the anti-corruption policy, without getting involved</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in corruption, whether directly or indirectly</w:t>
      </w:r>
    </w:p>
    <w:p w14:paraId="6F19F865">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4. Performing duties in compliance with police discipline regulations and strictly relatedlaws</w:t>
      </w:r>
    </w:p>
    <w:p w14:paraId="14F236F2">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5. Do not do anything that is considered as giving or accepting bribes.</w:t>
      </w:r>
    </w:p>
    <w:p w14:paraId="48DC9066">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6. Supervisethe disbursement of expenses of affiliated agencies in accordance with the law. Strictly related regulations</w:t>
      </w:r>
    </w:p>
    <w:p w14:paraId="6AA3E806">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7. Receiving donations or sponsorships whether money object or property Any activity or project must strictly comply with regulations, rules and announcements, and have a receipt or evidence of receipt of payment accompanying the report every time</w:t>
      </w:r>
    </w:p>
    <w:p w14:paraId="3F9FAA68">
      <w:pPr>
        <w:shd w:val="clear" w:color="auto" w:fill="FFFFFF"/>
        <w:spacing w:after="0" w:line="240" w:lineRule="auto"/>
        <w:ind w:firstLine="709"/>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8. Accepting property or any other benefits on an ethical basis, all police</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 xml:space="preserve">officers under the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shall comply with the announcement. National Anti-Corruption Commission on the criteria for accepting property or any other benefits by ethics of officials, 2000 B.E.</w:t>
      </w:r>
    </w:p>
    <w:p w14:paraId="40BEB913">
      <w:pPr>
        <w:shd w:val="clear" w:color="auto" w:fill="FFFFFF"/>
        <w:spacing w:after="0" w:line="240" w:lineRule="auto"/>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b/>
          <w:bCs/>
          <w:color w:val="000000"/>
          <w:sz w:val="32"/>
          <w:szCs w:val="32"/>
        </w:rPr>
        <w:t>Punishment Measures/Violations of Guidelines</w:t>
      </w:r>
    </w:p>
    <w:p w14:paraId="27044E42">
      <w:pPr>
        <w:shd w:val="clear" w:color="auto" w:fill="FFFFFF"/>
        <w:spacing w:after="0" w:line="240" w:lineRule="auto"/>
        <w:ind w:firstLine="720"/>
        <w:jc w:val="thaiDistribute"/>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1. Violation of non-compliance with this policy may be subject to disciplinary</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action or take criminal proceedings or other relevant laws Including direct supervisors</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who ignore wrongdoing Or acknowledge that there is an offense but do not take</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corrective action, with disciplinary penalties to the point of dismiss alfrom government</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service</w:t>
      </w:r>
    </w:p>
    <w:p w14:paraId="36A8D8EC">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2. Lack of awareness of this policy notice and/or related laws it cannot be used as an</w:t>
      </w:r>
      <w:r>
        <w:rPr>
          <w:rFonts w:hint="default" w:ascii="TH Sarabun New" w:hAnsi="TH Sarabun New" w:eastAsia="Times New Roman" w:cs="TH Sarabun New"/>
          <w:color w:val="000000"/>
          <w:sz w:val="32"/>
          <w:szCs w:val="32"/>
          <w:lang w:val="en-US"/>
        </w:rPr>
        <w:t xml:space="preserve"> </w:t>
      </w:r>
      <w:r>
        <w:rPr>
          <w:rFonts w:hint="default" w:ascii="TH Sarabun New" w:hAnsi="TH Sarabun New" w:eastAsia="Times New Roman" w:cs="TH Sarabun New"/>
          <w:color w:val="000000"/>
          <w:sz w:val="32"/>
          <w:szCs w:val="32"/>
        </w:rPr>
        <w:t>excuse for non-compliance.</w:t>
      </w:r>
    </w:p>
    <w:p w14:paraId="500A8526">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3. Supervisors under the Order of the Police Department No. 1212/2537, dated October 1, 1994, have the authority to supervise and supervise subordinates in custody to strictly adhere to and comply with this policy.</w:t>
      </w:r>
    </w:p>
    <w:p w14:paraId="770EB685">
      <w:pPr>
        <w:shd w:val="clear" w:color="auto" w:fill="FFFFFF"/>
        <w:spacing w:after="0" w:line="240" w:lineRule="auto"/>
        <w:ind w:left="720" w:hanging="720"/>
        <w:jc w:val="both"/>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Monitoring measures</w:t>
      </w:r>
    </w:p>
    <w:p w14:paraId="4FB3CC08">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1. Superintendent of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Announcement of intent to manage the agency Honestly, transparently and in accordance with the principles of good governance. By disseminating public relations to the police officers under the jurisdiction and external stakeholders know</w:t>
      </w:r>
    </w:p>
    <w:p w14:paraId="5DEA08AD">
      <w:pPr>
        <w:shd w:val="clear" w:color="auto" w:fill="FFFFFF"/>
        <w:spacing w:after="0" w:line="240" w:lineRule="auto"/>
        <w:ind w:firstLine="720"/>
        <w:jc w:val="thaiDistribute"/>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2. The commander under the Police Department Order No. 1212/2537 dated</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October 1, 1994 has The authority and duty to supervise, follow up and inspect police officers under their supervision under their jurisdiction shall act in accordance with this</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announcement. In the event that an action that violates this announcement is found</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 xml:space="preserve">report to the superintendent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Know as soon as possible</w:t>
      </w:r>
    </w:p>
    <w:p w14:paraId="30A65188">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3.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will provide inspection Evaluate theimplementation of this guideline annually. And arrange for the committee to review and improve the appropriate practice guidelines, or at least once a year or according to changes in various factors that are significant</w:t>
      </w:r>
    </w:p>
    <w:p w14:paraId="74286153">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4. to the administrative department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Provide statistical data on receiving gifts or other benefits Along with problems, obstacles, ways to solve and report to the superintendent of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w:t>
      </w:r>
      <w:r>
        <w:rPr>
          <w:rFonts w:hint="default" w:ascii="TH Sarabun New" w:hAnsi="TH Sarabun New" w:cs="TH Sarabun New"/>
          <w:sz w:val="32"/>
          <w:szCs w:val="32"/>
        </w:rPr>
        <w:t>Provincial Police Station</w:t>
      </w:r>
      <w:r>
        <w:rPr>
          <w:rFonts w:hint="default" w:ascii="TH Sarabun New" w:hAnsi="TH Sarabun New" w:eastAsia="Times New Roman" w:cs="TH Sarabun New"/>
          <w:color w:val="000000"/>
          <w:sz w:val="32"/>
          <w:szCs w:val="32"/>
        </w:rPr>
        <w:t xml:space="preserve"> , know every quarter</w:t>
      </w:r>
    </w:p>
    <w:p w14:paraId="105FDCE5">
      <w:pPr>
        <w:shd w:val="clear" w:color="auto" w:fill="FFFFFF"/>
        <w:spacing w:after="0" w:line="240" w:lineRule="auto"/>
        <w:jc w:val="both"/>
        <w:rPr>
          <w:rFonts w:hint="default" w:ascii="TH Sarabun New" w:hAnsi="TH Sarabun New" w:eastAsia="Times New Roman" w:cs="TH Sarabun New"/>
          <w:b/>
          <w:bCs/>
          <w:color w:val="000000"/>
          <w:sz w:val="32"/>
          <w:szCs w:val="32"/>
        </w:rPr>
      </w:pPr>
    </w:p>
    <w:p w14:paraId="2992CBFC">
      <w:pPr>
        <w:shd w:val="clear" w:color="auto" w:fill="FFFFFF"/>
        <w:spacing w:after="0" w:line="240" w:lineRule="auto"/>
        <w:jc w:val="both"/>
        <w:rPr>
          <w:rFonts w:hint="default" w:ascii="TH Sarabun New" w:hAnsi="TH Sarabun New" w:eastAsia="Times New Roman" w:cs="TH Sarabun New"/>
          <w:b/>
          <w:bCs/>
          <w:color w:val="000000"/>
          <w:sz w:val="32"/>
          <w:szCs w:val="32"/>
        </w:rPr>
      </w:pPr>
    </w:p>
    <w:p w14:paraId="7E0A9E0F">
      <w:pPr>
        <w:shd w:val="clear" w:color="auto" w:fill="FFFFFF"/>
        <w:spacing w:after="0" w:line="240" w:lineRule="auto"/>
        <w:jc w:val="both"/>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Complaint/Whistleblowing Channels</w:t>
      </w:r>
    </w:p>
    <w:p w14:paraId="77384E17">
      <w:pPr>
        <w:shd w:val="clear" w:color="auto" w:fill="FFFFFF"/>
        <w:spacing w:after="0" w:line="240" w:lineRule="auto"/>
        <w:ind w:firstLine="720"/>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 xml:space="preserve">1. Corruption and Misconduct Whistleblowing Center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w:t>
      </w:r>
    </w:p>
    <w:p w14:paraId="7AC5A61D">
      <w:pPr>
        <w:pStyle w:val="4"/>
        <w:ind w:firstLine="720"/>
        <w:rPr>
          <w:rFonts w:hint="default" w:ascii="TH Sarabun New" w:hAnsi="TH Sarabun New" w:eastAsia="Times New Roman" w:cs="TH Sarabun New"/>
          <w:color w:val="000000"/>
          <w:sz w:val="32"/>
          <w:szCs w:val="32"/>
          <w:lang w:val="en-US" w:bidi="th-TH"/>
        </w:rPr>
      </w:pPr>
      <w:r>
        <w:rPr>
          <w:rFonts w:hint="default" w:ascii="TH Sarabun New" w:hAnsi="TH Sarabun New" w:eastAsia="Times New Roman" w:cs="TH Sarabun New"/>
          <w:color w:val="000000"/>
          <w:sz w:val="32"/>
          <w:szCs w:val="32"/>
        </w:rPr>
        <w:t xml:space="preserve">2. By post by making a complaint letter </w:t>
      </w:r>
      <w:r>
        <w:rPr>
          <w:rFonts w:hint="default" w:ascii="TH Sarabun New" w:hAnsi="TH Sarabun New" w:eastAsia="Times New Roman" w:cs="TH Sarabun New"/>
          <w:color w:val="000000"/>
          <w:sz w:val="32"/>
          <w:szCs w:val="32"/>
          <w:lang w:val="en-US"/>
        </w:rPr>
        <w:t>Nahaeo</w:t>
      </w:r>
      <w:r>
        <w:rPr>
          <w:rFonts w:hint="default" w:ascii="TH Sarabun New" w:hAnsi="TH Sarabun New" w:eastAsia="Times New Roman" w:cs="TH Sarabun New"/>
          <w:color w:val="000000"/>
          <w:sz w:val="32"/>
          <w:szCs w:val="32"/>
        </w:rPr>
        <w:t xml:space="preserve"> Provincial Police Station , No. </w:t>
      </w:r>
      <w:r>
        <w:rPr>
          <w:rFonts w:hint="default" w:ascii="TH Sarabun New" w:hAnsi="TH Sarabun New" w:eastAsia="Times New Roman"/>
          <w:color w:val="000000"/>
          <w:sz w:val="32"/>
          <w:szCs w:val="32"/>
        </w:rPr>
        <w:t xml:space="preserve">99 Na </w:t>
      </w:r>
      <w:r>
        <w:rPr>
          <w:rFonts w:hint="default" w:ascii="TH Sarabun New" w:hAnsi="TH Sarabun New" w:eastAsia="Times New Roman"/>
          <w:color w:val="000000"/>
          <w:sz w:val="32"/>
          <w:szCs w:val="32"/>
          <w:lang w:val="en-US"/>
        </w:rPr>
        <w:t>h</w:t>
      </w:r>
      <w:r>
        <w:rPr>
          <w:rFonts w:hint="default" w:ascii="TH Sarabun New" w:hAnsi="TH Sarabun New" w:eastAsia="Times New Roman"/>
          <w:color w:val="000000"/>
          <w:sz w:val="32"/>
          <w:szCs w:val="32"/>
        </w:rPr>
        <w:t>aeo Subdistrict, Na Haeo District</w:t>
      </w:r>
      <w:r>
        <w:rPr>
          <w:rFonts w:hint="default" w:ascii="TH Sarabun New" w:hAnsi="TH Sarabun New" w:eastAsia="Times New Roman"/>
          <w:color w:val="000000"/>
          <w:sz w:val="32"/>
          <w:szCs w:val="32"/>
          <w:lang w:val="en-US"/>
        </w:rPr>
        <w:t xml:space="preserve"> </w:t>
      </w:r>
      <w:r>
        <w:rPr>
          <w:rFonts w:hint="default" w:ascii="TH Sarabun New" w:hAnsi="TH Sarabun New" w:eastAsia="Times New Roman" w:cs="TH Sarabun New"/>
          <w:color w:val="000000"/>
          <w:sz w:val="32"/>
          <w:szCs w:val="32"/>
          <w:lang w:val="en-US"/>
        </w:rPr>
        <w:t>Nahaeo</w:t>
      </w:r>
      <w:r>
        <w:rPr>
          <w:rFonts w:hint="default" w:ascii="TH Sarabun New" w:hAnsi="TH Sarabun New" w:cs="TH Sarabun New"/>
          <w:sz w:val="32"/>
          <w:szCs w:val="32"/>
        </w:rPr>
        <w:t xml:space="preserve"> Province </w:t>
      </w:r>
      <w:r>
        <w:rPr>
          <w:rFonts w:hint="default" w:ascii="TH Sarabun New" w:hAnsi="TH Sarabun New" w:cs="TH Sarabun New"/>
          <w:sz w:val="32"/>
          <w:szCs w:val="32"/>
          <w:cs/>
          <w:lang w:val="en-US" w:bidi="th-TH"/>
        </w:rPr>
        <w:t>42170</w:t>
      </w:r>
    </w:p>
    <w:p w14:paraId="193DF91C">
      <w:pPr>
        <w:shd w:val="clear" w:color="auto" w:fill="FFFFFF"/>
        <w:spacing w:after="0" w:line="240" w:lineRule="auto"/>
        <w:ind w:firstLine="720"/>
        <w:jc w:val="both"/>
        <w:rPr>
          <w:rFonts w:hint="default" w:ascii="TH Sarabun New" w:hAnsi="TH Sarabun New" w:eastAsia="Times New Roman" w:cs="TH Sarabun New"/>
          <w:color w:val="000000"/>
          <w:sz w:val="32"/>
          <w:szCs w:val="32"/>
          <w:lang w:val="en-US" w:bidi="th-TH"/>
        </w:rPr>
      </w:pPr>
      <w:r>
        <w:rPr>
          <w:rFonts w:hint="default" w:ascii="TH Sarabun New" w:hAnsi="TH Sarabun New" w:eastAsia="Times New Roman" w:cs="TH Sarabun New"/>
          <w:color w:val="000000"/>
          <w:sz w:val="32"/>
          <w:szCs w:val="32"/>
        </w:rPr>
        <w:t>3. By phone number 042-</w:t>
      </w:r>
      <w:r>
        <w:rPr>
          <w:rFonts w:hint="cs" w:ascii="TH Sarabun New" w:hAnsi="TH Sarabun New" w:eastAsia="Times New Roman" w:cs="TH Sarabun New"/>
          <w:color w:val="000000"/>
          <w:sz w:val="32"/>
          <w:szCs w:val="32"/>
          <w:cs/>
          <w:lang w:val="en-US" w:bidi="th-TH"/>
        </w:rPr>
        <w:t>897-074</w:t>
      </w:r>
    </w:p>
    <w:p w14:paraId="28FA3E79">
      <w:pPr>
        <w:shd w:val="clear" w:color="auto" w:fill="FFFFFF"/>
        <w:spacing w:after="0" w:line="240" w:lineRule="auto"/>
        <w:ind w:firstLine="720"/>
        <w:jc w:val="both"/>
        <w:rPr>
          <w:rFonts w:hint="default" w:ascii="TH Sarabun New" w:hAnsi="TH Sarabun New" w:eastAsia="Times New Roman" w:cs="TH Sarabun New"/>
          <w:color w:val="000000"/>
          <w:sz w:val="32"/>
          <w:szCs w:val="32"/>
        </w:rPr>
      </w:pPr>
      <w:r>
        <w:rPr>
          <w:rFonts w:hint="cs" w:ascii="TH Sarabun New" w:hAnsi="TH Sarabun New" w:eastAsia="Times New Roman" w:cstheme="minorBidi"/>
          <w:color w:val="000000"/>
          <w:sz w:val="32"/>
          <w:szCs w:val="32"/>
          <w:cs/>
          <w:lang w:val="en-US" w:bidi="th-TH"/>
        </w:rPr>
        <w:t xml:space="preserve">4. </w:t>
      </w:r>
      <w:r>
        <w:rPr>
          <w:rFonts w:hint="default" w:ascii="TH Sarabun New" w:hAnsi="TH Sarabun New" w:eastAsia="Times New Roman"/>
          <w:color w:val="000000"/>
          <w:sz w:val="32"/>
          <w:szCs w:val="32"/>
        </w:rPr>
        <w:t>Fax number 042-897-073</w:t>
      </w:r>
    </w:p>
    <w:p w14:paraId="26BA44A0">
      <w:pPr>
        <w:shd w:val="clear" w:color="auto" w:fill="FFFFFF"/>
        <w:spacing w:after="0" w:line="240" w:lineRule="auto"/>
        <w:ind w:firstLine="720"/>
        <w:rPr>
          <w:rFonts w:hint="default" w:ascii="TH Sarabun New" w:hAnsi="TH Sarabun New" w:eastAsia="Times New Roman" w:cs="TH Sarabun New"/>
          <w:color w:val="000000"/>
          <w:sz w:val="32"/>
          <w:szCs w:val="32"/>
          <w:lang w:val="en-US"/>
        </w:rPr>
      </w:pPr>
      <w:r>
        <w:rPr>
          <w:rFonts w:hint="cs" w:ascii="TH Sarabun New" w:hAnsi="TH Sarabun New" w:eastAsia="Times New Roman" w:cs="TH Sarabun New"/>
          <w:color w:val="000000"/>
          <w:sz w:val="32"/>
          <w:szCs w:val="32"/>
          <w:cs/>
          <w:lang w:val="en-US" w:bidi="th-TH"/>
        </w:rPr>
        <w:t>5</w:t>
      </w:r>
      <w:r>
        <w:rPr>
          <w:rFonts w:hint="default" w:ascii="TH Sarabun New" w:hAnsi="TH Sarabun New" w:eastAsia="Times New Roman" w:cs="TH Sarabun New"/>
          <w:color w:val="000000"/>
          <w:sz w:val="32"/>
          <w:szCs w:val="32"/>
        </w:rPr>
        <w:t xml:space="preserve">.  Email : </w:t>
      </w:r>
      <w:r>
        <w:rPr>
          <w:rFonts w:hint="default" w:ascii="TH SarabunPSK" w:hAnsi="TH SarabunPSK" w:cs="TH SarabunPSK"/>
          <w:sz w:val="32"/>
          <w:szCs w:val="32"/>
          <w:lang w:val="en-US"/>
        </w:rPr>
        <w:fldChar w:fldCharType="begin"/>
      </w:r>
      <w:r>
        <w:rPr>
          <w:rFonts w:hint="default" w:ascii="TH SarabunPSK" w:hAnsi="TH SarabunPSK" w:cs="TH SarabunPSK"/>
          <w:sz w:val="32"/>
          <w:szCs w:val="32"/>
          <w:lang w:val="en-US"/>
        </w:rPr>
        <w:instrText xml:space="preserve"> HYPERLINK "mailto:nahaeo.police@gmail.com" </w:instrText>
      </w:r>
      <w:r>
        <w:rPr>
          <w:rFonts w:hint="default" w:ascii="TH SarabunPSK" w:hAnsi="TH SarabunPSK" w:cs="TH SarabunPSK"/>
          <w:sz w:val="32"/>
          <w:szCs w:val="32"/>
          <w:lang w:val="en-US"/>
        </w:rPr>
        <w:fldChar w:fldCharType="separate"/>
      </w:r>
      <w:r>
        <w:rPr>
          <w:rStyle w:val="5"/>
          <w:rFonts w:hint="default" w:ascii="TH SarabunPSK" w:hAnsi="TH SarabunPSK" w:cs="TH SarabunPSK"/>
          <w:sz w:val="32"/>
          <w:szCs w:val="32"/>
          <w:lang w:val="en-US"/>
        </w:rPr>
        <w:t>nahaeo.police@gmail.com</w:t>
      </w:r>
      <w:r>
        <w:rPr>
          <w:rFonts w:hint="default" w:ascii="TH SarabunPSK" w:hAnsi="TH SarabunPSK" w:cs="TH SarabunPSK"/>
          <w:sz w:val="32"/>
          <w:szCs w:val="32"/>
          <w:lang w:val="en-US"/>
        </w:rPr>
        <w:fldChar w:fldCharType="end"/>
      </w:r>
      <w:r>
        <w:rPr>
          <w:rFonts w:hint="cs" w:ascii="TH SarabunPSK" w:hAnsi="TH SarabunPSK" w:cs="TH SarabunPSK"/>
          <w:sz w:val="32"/>
          <w:szCs w:val="32"/>
          <w:cs/>
          <w:lang w:val="en-US" w:bidi="th-TH"/>
        </w:rPr>
        <w:t xml:space="preserve"> </w:t>
      </w:r>
      <w:r>
        <w:rPr>
          <w:rFonts w:hint="default" w:ascii="TH SarabunPSK" w:hAnsi="TH SarabunPSK" w:cs="TH SarabunPSK"/>
          <w:sz w:val="32"/>
          <w:szCs w:val="32"/>
          <w:cs w:val="0"/>
          <w:lang w:val="en-US" w:bidi="th-TH"/>
        </w:rPr>
        <w:t xml:space="preserve"> or </w:t>
      </w:r>
      <w:r>
        <w:rPr>
          <w:rFonts w:hint="default" w:ascii="TH SarabunPSK" w:hAnsi="TH SarabunPSK"/>
          <w:sz w:val="32"/>
          <w:szCs w:val="32"/>
          <w:lang w:val="en-US"/>
        </w:rPr>
        <w:fldChar w:fldCharType="begin"/>
      </w:r>
      <w:r>
        <w:rPr>
          <w:rFonts w:hint="default" w:ascii="TH SarabunPSK" w:hAnsi="TH SarabunPSK"/>
          <w:sz w:val="32"/>
          <w:szCs w:val="32"/>
          <w:lang w:val="en-US"/>
        </w:rPr>
        <w:instrText xml:space="preserve"> HYPERLINK "mailto:nahaeo@royalthaipolice.go.th" </w:instrText>
      </w:r>
      <w:r>
        <w:rPr>
          <w:rFonts w:hint="default" w:ascii="TH SarabunPSK" w:hAnsi="TH SarabunPSK"/>
          <w:sz w:val="32"/>
          <w:szCs w:val="32"/>
          <w:lang w:val="en-US"/>
        </w:rPr>
        <w:fldChar w:fldCharType="separate"/>
      </w:r>
      <w:r>
        <w:rPr>
          <w:rStyle w:val="5"/>
          <w:rFonts w:hint="default" w:ascii="TH SarabunPSK" w:hAnsi="TH SarabunPSK"/>
          <w:sz w:val="32"/>
          <w:szCs w:val="32"/>
          <w:lang w:val="en-US"/>
        </w:rPr>
        <w:t>nahaeo@royalthaipolice.go.th</w:t>
      </w:r>
      <w:r>
        <w:rPr>
          <w:rFonts w:hint="default" w:ascii="TH SarabunPSK" w:hAnsi="TH SarabunPSK"/>
          <w:sz w:val="32"/>
          <w:szCs w:val="32"/>
          <w:lang w:val="en-US"/>
        </w:rPr>
        <w:fldChar w:fldCharType="end"/>
      </w:r>
      <w:r>
        <w:rPr>
          <w:rFonts w:hint="default" w:ascii="TH SarabunPSK" w:hAnsi="TH SarabunPSK"/>
          <w:sz w:val="32"/>
          <w:szCs w:val="32"/>
          <w:lang w:val="en-US"/>
        </w:rPr>
        <w:t xml:space="preserve"> </w:t>
      </w:r>
    </w:p>
    <w:p w14:paraId="6B2037A9">
      <w:pPr>
        <w:shd w:val="clear" w:color="auto" w:fill="FFFFFF"/>
        <w:spacing w:after="0" w:line="240" w:lineRule="auto"/>
        <w:ind w:firstLine="720"/>
        <w:jc w:val="both"/>
        <w:rPr>
          <w:rFonts w:hint="default" w:ascii="TH Sarabun New" w:hAnsi="TH Sarabun New" w:eastAsia="Times New Roman" w:cs="TH Sarabun New"/>
          <w:color w:val="000000"/>
          <w:sz w:val="32"/>
          <w:szCs w:val="32"/>
        </w:rPr>
      </w:pPr>
      <w:r>
        <w:rPr>
          <w:rFonts w:hint="cs" w:ascii="TH Sarabun New" w:hAnsi="TH Sarabun New" w:eastAsia="Times New Roman" w:cs="TH Sarabun New"/>
          <w:color w:val="000000"/>
          <w:sz w:val="32"/>
          <w:szCs w:val="32"/>
          <w:cs/>
          <w:lang w:val="en-US" w:bidi="th-TH"/>
        </w:rPr>
        <w:t>6</w:t>
      </w:r>
      <w:r>
        <w:rPr>
          <w:rFonts w:hint="default" w:ascii="TH Sarabun New" w:hAnsi="TH Sarabun New" w:eastAsia="Times New Roman" w:cs="TH Sarabun New"/>
          <w:color w:val="000000"/>
          <w:sz w:val="32"/>
          <w:szCs w:val="32"/>
        </w:rPr>
        <w:t xml:space="preserve">. website : </w:t>
      </w:r>
      <w:r>
        <w:rPr>
          <w:rFonts w:hint="cs" w:ascii="TH SarabunPSK" w:hAnsi="TH SarabunPSK"/>
          <w:spacing w:val="-4"/>
          <w:sz w:val="32"/>
          <w:szCs w:val="32"/>
          <w:lang w:val="th-TH"/>
        </w:rPr>
        <w:fldChar w:fldCharType="begin"/>
      </w:r>
      <w:r>
        <w:rPr>
          <w:rFonts w:hint="cs" w:ascii="TH SarabunPSK" w:hAnsi="TH SarabunPSK"/>
          <w:spacing w:val="-4"/>
          <w:sz w:val="32"/>
          <w:szCs w:val="32"/>
          <w:lang w:val="th-TH"/>
        </w:rPr>
        <w:instrText xml:space="preserve"> HYPERLINK "https://nahaeo.loei.police.go.th" </w:instrText>
      </w:r>
      <w:r>
        <w:rPr>
          <w:rFonts w:hint="cs" w:ascii="TH SarabunPSK" w:hAnsi="TH SarabunPSK"/>
          <w:spacing w:val="-4"/>
          <w:sz w:val="32"/>
          <w:szCs w:val="32"/>
          <w:lang w:val="th-TH"/>
        </w:rPr>
        <w:fldChar w:fldCharType="separate"/>
      </w:r>
      <w:r>
        <w:rPr>
          <w:rStyle w:val="5"/>
          <w:rFonts w:hint="cs" w:ascii="TH SarabunPSK" w:hAnsi="TH SarabunPSK"/>
          <w:spacing w:val="-4"/>
          <w:sz w:val="32"/>
          <w:szCs w:val="32"/>
          <w:lang w:val="th-TH"/>
        </w:rPr>
        <w:t>https://nahaeo.loei.police.go.th</w:t>
      </w:r>
      <w:r>
        <w:rPr>
          <w:rFonts w:hint="cs" w:ascii="TH SarabunPSK" w:hAnsi="TH SarabunPSK"/>
          <w:spacing w:val="-4"/>
          <w:sz w:val="32"/>
          <w:szCs w:val="32"/>
          <w:lang w:val="th-TH"/>
        </w:rPr>
        <w:fldChar w:fldCharType="end"/>
      </w:r>
      <w:r>
        <w:rPr>
          <w:rFonts w:hint="cs" w:ascii="TH SarabunPSK" w:hAnsi="TH SarabunPSK" w:cstheme="minorBidi"/>
          <w:spacing w:val="-4"/>
          <w:sz w:val="32"/>
          <w:szCs w:val="32"/>
          <w:cs/>
          <w:lang w:val="en-US" w:bidi="th-TH"/>
        </w:rPr>
        <w:t xml:space="preserve"> </w:t>
      </w:r>
    </w:p>
    <w:p w14:paraId="4A9AC6BE">
      <w:pPr>
        <w:shd w:val="clear" w:color="auto" w:fill="FFFFFF"/>
        <w:spacing w:after="0" w:line="240" w:lineRule="auto"/>
        <w:ind w:left="720"/>
        <w:rPr>
          <w:rFonts w:hint="cs" w:ascii="TH Sarabun New" w:hAnsi="TH Sarabun New" w:eastAsia="Times New Roman" w:cstheme="minorBidi"/>
          <w:color w:val="000000"/>
          <w:sz w:val="32"/>
          <w:szCs w:val="32"/>
          <w:lang w:val="en-US" w:bidi="th-TH"/>
        </w:rPr>
      </w:pPr>
      <w:r>
        <w:rPr>
          <w:rFonts w:hint="cs" w:ascii="TH Sarabun New" w:hAnsi="TH Sarabun New" w:eastAsia="Times New Roman" w:cs="TH Sarabun New"/>
          <w:color w:val="000000"/>
          <w:sz w:val="32"/>
          <w:szCs w:val="32"/>
          <w:cs/>
          <w:lang w:val="en-US" w:bidi="th-TH"/>
        </w:rPr>
        <w:t>7</w:t>
      </w:r>
      <w:r>
        <w:rPr>
          <w:rFonts w:hint="default" w:ascii="TH Sarabun New" w:hAnsi="TH Sarabun New" w:eastAsia="Times New Roman" w:cs="TH Sarabun New"/>
          <w:color w:val="000000"/>
          <w:sz w:val="32"/>
          <w:szCs w:val="32"/>
        </w:rPr>
        <w:t xml:space="preserve">. Facebook page : </w:t>
      </w:r>
      <w:r>
        <w:rPr>
          <w:rFonts w:hint="default" w:ascii="TH Sarabun New" w:hAnsi="TH Sarabun New"/>
          <w:sz w:val="28"/>
          <w:szCs w:val="36"/>
        </w:rPr>
        <w:fldChar w:fldCharType="begin"/>
      </w:r>
      <w:r>
        <w:rPr>
          <w:rFonts w:hint="default" w:ascii="TH Sarabun New" w:hAnsi="TH Sarabun New"/>
          <w:sz w:val="28"/>
          <w:szCs w:val="36"/>
        </w:rPr>
        <w:instrText xml:space="preserve"> HYPERLINK "http://www.facebook.com/Nahaeo.pol" </w:instrText>
      </w:r>
      <w:r>
        <w:rPr>
          <w:rFonts w:hint="default" w:ascii="TH Sarabun New" w:hAnsi="TH Sarabun New"/>
          <w:sz w:val="28"/>
          <w:szCs w:val="36"/>
        </w:rPr>
        <w:fldChar w:fldCharType="separate"/>
      </w:r>
      <w:r>
        <w:rPr>
          <w:rStyle w:val="5"/>
          <w:rFonts w:hint="default" w:ascii="TH Sarabun New" w:hAnsi="TH Sarabun New"/>
          <w:sz w:val="28"/>
          <w:szCs w:val="36"/>
        </w:rPr>
        <w:t>www.facebook.com/Nahaeo.pol</w:t>
      </w:r>
      <w:r>
        <w:rPr>
          <w:rFonts w:hint="default" w:ascii="TH Sarabun New" w:hAnsi="TH Sarabun New"/>
          <w:sz w:val="28"/>
          <w:szCs w:val="36"/>
        </w:rPr>
        <w:fldChar w:fldCharType="end"/>
      </w:r>
      <w:r>
        <w:rPr>
          <w:rFonts w:hint="cs" w:ascii="TH Sarabun New" w:hAnsi="TH Sarabun New" w:cstheme="minorBidi"/>
          <w:sz w:val="28"/>
          <w:szCs w:val="36"/>
          <w:cs/>
          <w:lang w:val="en-US" w:bidi="th-TH"/>
        </w:rPr>
        <w:t xml:space="preserve"> </w:t>
      </w:r>
    </w:p>
    <w:p w14:paraId="277D3722">
      <w:pPr>
        <w:shd w:val="clear" w:color="auto" w:fill="FFFFFF"/>
        <w:spacing w:after="0" w:line="240" w:lineRule="auto"/>
        <w:ind w:left="720" w:hanging="720"/>
        <w:rPr>
          <w:rFonts w:hint="default" w:ascii="TH Sarabun New" w:hAnsi="TH Sarabun New" w:eastAsia="Times New Roman" w:cs="TH Sarabun New"/>
          <w:b/>
          <w:bCs/>
          <w:color w:val="000000"/>
          <w:sz w:val="32"/>
          <w:szCs w:val="32"/>
        </w:rPr>
      </w:pPr>
      <w:r>
        <w:rPr>
          <w:rFonts w:hint="default" w:ascii="TH Sarabun New" w:hAnsi="TH Sarabun New" w:eastAsia="Times New Roman" w:cs="TH Sarabun New"/>
          <w:b/>
          <w:bCs/>
          <w:color w:val="000000"/>
          <w:sz w:val="32"/>
          <w:szCs w:val="32"/>
        </w:rPr>
        <w:t>Measures to protect petitioners and witnesses.</w:t>
      </w:r>
    </w:p>
    <w:p w14:paraId="0634994B">
      <w:pPr>
        <w:shd w:val="clear" w:color="auto" w:fill="FFFFFF"/>
        <w:spacing w:after="0" w:line="240" w:lineRule="auto"/>
        <w:ind w:firstLine="720"/>
        <w:jc w:val="thaiDistribute"/>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1. Consideration of complaints Classes of secrecy and protection of those</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involved shall be prescribed in accordance with the regulations on With the confidentiality of the government B.E. 2544 and submitting the matter to the agency for consideration informant and petitionermay suffer, for example, a complaint blaming officials initially considered It's an official secret. If it's an interesting card Consider only those who provide evidence. The circumstances are evident, as well as pointing out certain witnesses only The whistleblowing of influential people must conceal the name and address of the petitioner. If not concealing the name and address of the petitioner must notify the relevant agencies for acknowledgment and protection to the petitioner as follows: "Let the commander use discretion to order, as appropriate to protect the complainant, the witness and the person providing the information in the investigation Do not allow danger or injustice, that may arise from complaints Being a witness or giving such information. "accused Must protect both the petitioner and there spondent because the matter has not yet passed the fact-finding process. And it may be a bullying</w:t>
      </w:r>
    </w:p>
    <w:p w14:paraId="4E61A9A8">
      <w:pPr>
        <w:shd w:val="clear" w:color="auto" w:fill="FFFFFF"/>
        <w:spacing w:after="0" w:line="240" w:lineRule="auto"/>
        <w:ind w:firstLine="720"/>
        <w:jc w:val="both"/>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accusation that can cause trouble and damage, and in the case that</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the complainant specifies in the request to conceal or not wish to disclose the</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complainant's name The agency must not disclose the name of the petitioner to the agency,</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respondent Because the petitioner may have suffered the cause of the complaint.</w:t>
      </w:r>
    </w:p>
    <w:p w14:paraId="5AE19E53">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2. When making a complaint Petitioners and witnesses will not be subjected to any</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action that affects their work duties or livelihood if it is necessary to take any action, such as separating the workplace to prevent the complainant, the witness and the accused from meeting, etc., the consent of the complainant and witness must be obtained.</w:t>
      </w:r>
    </w:p>
    <w:p w14:paraId="51A81185">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3. Requests of victims, petitioners or witnesses, such as requesting to move the</w:t>
      </w:r>
      <w:bookmarkStart w:id="0" w:name="_GoBack"/>
      <w:bookmarkEnd w:id="0"/>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workplace or method in prevention or problem solving it should be considered by the</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responsible person or agency as appropriate.</w:t>
      </w:r>
    </w:p>
    <w:p w14:paraId="71D64E39">
      <w:pPr>
        <w:shd w:val="clear" w:color="auto" w:fill="FFFFFF"/>
        <w:spacing w:after="0" w:line="240" w:lineRule="auto"/>
        <w:ind w:left="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4. Provide protection to complainants from being bullied.</w:t>
      </w:r>
    </w:p>
    <w:p w14:paraId="1600F5D5">
      <w:pPr>
        <w:shd w:val="clear" w:color="auto" w:fill="FFFFFF"/>
        <w:spacing w:after="0" w:line="240" w:lineRule="auto"/>
        <w:ind w:left="720"/>
        <w:rPr>
          <w:rFonts w:hint="default" w:ascii="TH Sarabun New" w:hAnsi="TH Sarabun New" w:eastAsia="Times New Roman" w:cs="TH Sarabun New"/>
          <w:color w:val="000000"/>
          <w:sz w:val="32"/>
          <w:szCs w:val="32"/>
        </w:rPr>
      </w:pPr>
    </w:p>
    <w:p w14:paraId="3DE39BCF">
      <w:pPr>
        <w:shd w:val="clear" w:color="auto" w:fill="FFFFFF"/>
        <w:spacing w:after="0" w:line="240" w:lineRule="auto"/>
        <w:ind w:left="720"/>
        <w:rPr>
          <w:rFonts w:hint="default" w:ascii="TH Sarabun New" w:hAnsi="TH Sarabun New" w:eastAsia="Times New Roman" w:cs="TH Sarabun New"/>
          <w:color w:val="000000"/>
          <w:sz w:val="32"/>
          <w:szCs w:val="32"/>
        </w:rPr>
      </w:pPr>
    </w:p>
    <w:p w14:paraId="79ACF312">
      <w:pPr>
        <w:shd w:val="clear" w:color="auto" w:fill="FFFFFF"/>
        <w:spacing w:after="0" w:line="240" w:lineRule="auto"/>
        <w:ind w:left="720"/>
        <w:rPr>
          <w:rFonts w:hint="default" w:ascii="TH Sarabun New" w:hAnsi="TH Sarabun New" w:eastAsia="Times New Roman" w:cs="TH Sarabun New"/>
          <w:color w:val="000000"/>
          <w:sz w:val="32"/>
          <w:szCs w:val="32"/>
        </w:rPr>
      </w:pPr>
    </w:p>
    <w:p w14:paraId="60E152D5">
      <w:pPr>
        <w:shd w:val="clear" w:color="auto" w:fill="FFFFFF"/>
        <w:spacing w:after="0" w:line="240" w:lineRule="auto"/>
        <w:ind w:left="720" w:hanging="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b/>
          <w:bCs/>
          <w:color w:val="000000"/>
          <w:sz w:val="32"/>
          <w:szCs w:val="32"/>
        </w:rPr>
        <w:t>Measures to protect the accused</w:t>
      </w:r>
    </w:p>
    <w:p w14:paraId="1F5A9D8D">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1. During the consideration of the complaint, the accused has not been found</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guilty have to give Dharma and to be treated like other people.</w:t>
      </w:r>
    </w:p>
    <w:p w14:paraId="6514E4E2">
      <w:pPr>
        <w:shd w:val="clear" w:color="auto" w:fill="FFFFFF"/>
        <w:spacing w:after="0" w:line="240" w:lineRule="auto"/>
        <w:ind w:firstLine="720"/>
        <w:rPr>
          <w:rFonts w:hint="default" w:ascii="TH Sarabun New" w:hAnsi="TH Sarabun New" w:eastAsia="Times New Roman" w:cs="TH Sarabun New"/>
          <w:color w:val="000000"/>
          <w:sz w:val="32"/>
          <w:szCs w:val="32"/>
        </w:rPr>
      </w:pPr>
      <w:r>
        <w:rPr>
          <w:rFonts w:hint="default" w:ascii="TH Sarabun New" w:hAnsi="TH Sarabun New" w:eastAsia="Times New Roman" w:cs="TH Sarabun New"/>
          <w:color w:val="000000"/>
          <w:sz w:val="32"/>
          <w:szCs w:val="32"/>
        </w:rPr>
        <w:t>2. Give the accused an opportunity to fully explain the allegation. Including the right</w:t>
      </w: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toperform Documents and Evidence</w:t>
      </w:r>
    </w:p>
    <w:p w14:paraId="267DB765">
      <w:pPr>
        <w:shd w:val="clear" w:color="auto" w:fill="FFFFFF"/>
        <w:spacing w:after="0" w:line="240" w:lineRule="auto"/>
        <w:ind w:left="720"/>
        <w:jc w:val="both"/>
        <w:rPr>
          <w:rFonts w:hint="default" w:ascii="TH Sarabun New" w:hAnsi="TH Sarabun New" w:eastAsia="Times New Roman" w:cs="TH Sarabun New"/>
          <w:color w:val="000000"/>
          <w:sz w:val="32"/>
          <w:szCs w:val="32"/>
          <w:lang w:val="en-US" w:bidi="th-TH"/>
        </w:rPr>
      </w:pPr>
      <w:r>
        <w:rPr>
          <w:rFonts w:hint="default" w:ascii="TH Sarabun New" w:hAnsi="TH Sarabun New" w:eastAsia="Times New Roman" w:cs="TH Sarabun New"/>
          <w:color w:val="000000"/>
          <w:sz w:val="32"/>
          <w:szCs w:val="32"/>
        </w:rPr>
        <w:br w:type="textWrapping"/>
      </w:r>
      <w:r>
        <w:rPr>
          <w:rFonts w:hint="default" w:ascii="TH Sarabun New" w:hAnsi="TH Sarabun New" w:eastAsia="Times New Roman" w:cs="TH Sarabun New"/>
          <w:color w:val="000000"/>
          <w:sz w:val="32"/>
          <w:szCs w:val="32"/>
        </w:rPr>
        <w:t xml:space="preserve">This  announcement is hereby issued on </w:t>
      </w:r>
      <w:r>
        <w:rPr>
          <w:rFonts w:hint="default" w:ascii="TH Sarabun New" w:hAnsi="TH Sarabun New" w:eastAsia="Times New Roman" w:cs="TH Sarabun New"/>
          <w:color w:val="000000"/>
          <w:sz w:val="32"/>
          <w:szCs w:val="32"/>
          <w:lang w:val="en-US"/>
        </w:rPr>
        <w:t>January</w:t>
      </w:r>
      <w:r>
        <w:rPr>
          <w:rFonts w:hint="default" w:ascii="TH Sarabun New" w:hAnsi="TH Sarabun New" w:eastAsia="Times New Roman" w:cs="TH Sarabun New"/>
          <w:color w:val="000000" w:themeColor="text1"/>
          <w:sz w:val="32"/>
          <w:szCs w:val="32"/>
          <w14:textFill>
            <w14:solidFill>
              <w14:schemeClr w14:val="tx1"/>
            </w14:solidFill>
          </w14:textFill>
        </w:rPr>
        <w:t xml:space="preserve"> </w:t>
      </w:r>
      <w:r>
        <w:rPr>
          <w:rFonts w:hint="default" w:ascii="TH Sarabun New" w:hAnsi="TH Sarabun New" w:eastAsia="Times New Roman" w:cs="TH Sarabun New"/>
          <w:color w:val="000000" w:themeColor="text1"/>
          <w:sz w:val="32"/>
          <w:szCs w:val="32"/>
          <w:lang w:val="en-US"/>
          <w14:textFill>
            <w14:solidFill>
              <w14:schemeClr w14:val="tx1"/>
            </w14:solidFill>
          </w14:textFill>
        </w:rPr>
        <w:t>1</w:t>
      </w:r>
      <w:r>
        <w:rPr>
          <w:rFonts w:hint="default" w:ascii="TH Sarabun New" w:hAnsi="TH Sarabun New" w:eastAsia="Times New Roman" w:cs="TH Sarabun New"/>
          <w:color w:val="000000" w:themeColor="text1"/>
          <w:sz w:val="32"/>
          <w:szCs w:val="32"/>
          <w14:textFill>
            <w14:solidFill>
              <w14:schemeClr w14:val="tx1"/>
            </w14:solidFill>
          </w14:textFill>
        </w:rPr>
        <w:t xml:space="preserve">  , 20</w:t>
      </w:r>
      <w:r>
        <w:rPr>
          <w:rFonts w:hint="cs" w:ascii="TH Sarabun New" w:hAnsi="TH Sarabun New" w:eastAsia="Times New Roman" w:cs="TH Sarabun New"/>
          <w:color w:val="000000" w:themeColor="text1"/>
          <w:sz w:val="32"/>
          <w:szCs w:val="32"/>
          <w:cs/>
          <w:lang w:val="en-US" w:bidi="th-TH"/>
          <w14:textFill>
            <w14:solidFill>
              <w14:schemeClr w14:val="tx1"/>
            </w14:solidFill>
          </w14:textFill>
        </w:rPr>
        <w:t>26</w:t>
      </w:r>
    </w:p>
    <w:p w14:paraId="2B5797D1">
      <w:pPr>
        <w:shd w:val="clear" w:color="auto" w:fill="FFFFFF"/>
        <w:spacing w:after="0" w:line="240" w:lineRule="auto"/>
        <w:jc w:val="both"/>
        <w:rPr>
          <w:rFonts w:hint="default" w:ascii="TH Sarabun New" w:hAnsi="TH Sarabun New" w:eastAsia="Times New Roman" w:cs="TH Sarabun New"/>
          <w:color w:val="000000"/>
          <w:sz w:val="32"/>
          <w:szCs w:val="32"/>
        </w:rPr>
      </w:pPr>
      <w:r>
        <w:rPr>
          <w:rFonts w:hint="cs"/>
          <w:sz w:val="36"/>
          <w:szCs w:val="36"/>
        </w:rPr>
        <w:drawing>
          <wp:anchor distT="0" distB="0" distL="114300" distR="114300" simplePos="0" relativeHeight="251661312" behindDoc="1" locked="0" layoutInCell="1" allowOverlap="1">
            <wp:simplePos x="0" y="0"/>
            <wp:positionH relativeFrom="column">
              <wp:posOffset>2985770</wp:posOffset>
            </wp:positionH>
            <wp:positionV relativeFrom="paragraph">
              <wp:posOffset>149225</wp:posOffset>
            </wp:positionV>
            <wp:extent cx="628650" cy="571500"/>
            <wp:effectExtent l="0" t="0" r="0" b="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รูปภาพ 2"/>
                    <pic:cNvPicPr>
                      <a:picLocks noChangeAspect="1"/>
                    </pic:cNvPicPr>
                  </pic:nvPicPr>
                  <pic:blipFill>
                    <a:blip r:embed="rId7" cstate="print">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l="7087" r="14961" b="25398"/>
                    <a:stretch>
                      <a:fillRect/>
                    </a:stretch>
                  </pic:blipFill>
                  <pic:spPr>
                    <a:xfrm>
                      <a:off x="0" y="0"/>
                      <a:ext cx="628650" cy="571500"/>
                    </a:xfrm>
                    <a:prstGeom prst="rect">
                      <a:avLst/>
                    </a:prstGeom>
                    <a:ln>
                      <a:noFill/>
                    </a:ln>
                  </pic:spPr>
                </pic:pic>
              </a:graphicData>
            </a:graphic>
          </wp:anchor>
        </w:drawing>
      </w:r>
    </w:p>
    <w:p w14:paraId="1678F783">
      <w:pPr>
        <w:pStyle w:val="4"/>
        <w:ind w:left="2160" w:firstLine="720"/>
        <w:rPr>
          <w:rFonts w:hint="default" w:ascii="TH Sarabun New" w:hAnsi="TH Sarabun New" w:cs="TH Sarabun New"/>
          <w:sz w:val="32"/>
          <w:szCs w:val="32"/>
          <w:cs/>
          <w:lang w:val="en-US"/>
        </w:rPr>
      </w:pPr>
      <w:r>
        <w:rPr>
          <w:rFonts w:hint="default" w:ascii="TH Sarabun New" w:hAnsi="TH Sarabun New" w:cs="TH Sarabun New"/>
          <w:sz w:val="32"/>
          <w:szCs w:val="32"/>
        </w:rPr>
        <w:t>Police Colonel</w:t>
      </w:r>
      <w:r>
        <w:rPr>
          <w:rFonts w:hint="default" w:ascii="TH Sarabun New" w:hAnsi="TH Sarabun New" w:cs="TH Sarabun New"/>
          <w:sz w:val="32"/>
          <w:szCs w:val="32"/>
          <w:lang w:val="en-US"/>
        </w:rPr>
        <w:t xml:space="preserve"> </w:t>
      </w:r>
      <w:r>
        <w:rPr>
          <w:rFonts w:hint="cs"/>
          <w:sz w:val="36"/>
          <w:szCs w:val="36"/>
        </w:rPr>
        <w:drawing>
          <wp:anchor distT="0" distB="0" distL="114300" distR="114300" simplePos="0" relativeHeight="251660288" behindDoc="1" locked="0" layoutInCell="1" allowOverlap="1">
            <wp:simplePos x="0" y="0"/>
            <wp:positionH relativeFrom="column">
              <wp:posOffset>1499870</wp:posOffset>
            </wp:positionH>
            <wp:positionV relativeFrom="paragraph">
              <wp:posOffset>-5996305</wp:posOffset>
            </wp:positionV>
            <wp:extent cx="628650" cy="571500"/>
            <wp:effectExtent l="0" t="0" r="0" b="0"/>
            <wp:wrapNone/>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รูปภาพ 1"/>
                    <pic:cNvPicPr>
                      <a:picLocks noChangeAspect="1"/>
                    </pic:cNvPicPr>
                  </pic:nvPicPr>
                  <pic:blipFill>
                    <a:blip r:embed="rId7" cstate="print">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l="7087" r="14961" b="25398"/>
                    <a:stretch>
                      <a:fillRect/>
                    </a:stretch>
                  </pic:blipFill>
                  <pic:spPr>
                    <a:xfrm>
                      <a:off x="0" y="0"/>
                      <a:ext cx="628650" cy="571500"/>
                    </a:xfrm>
                    <a:prstGeom prst="rect">
                      <a:avLst/>
                    </a:prstGeom>
                    <a:ln>
                      <a:noFill/>
                    </a:ln>
                  </pic:spPr>
                </pic:pic>
              </a:graphicData>
            </a:graphic>
          </wp:anchor>
        </w:drawing>
      </w:r>
    </w:p>
    <w:p w14:paraId="7C1D89C9">
      <w:pPr>
        <w:pStyle w:val="4"/>
        <w:ind w:left="2410" w:firstLine="1746"/>
        <w:rPr>
          <w:rFonts w:hint="default" w:ascii="TH Sarabun New" w:hAnsi="TH Sarabun New" w:cs="TH Sarabun New"/>
          <w:sz w:val="32"/>
          <w:szCs w:val="32"/>
        </w:rPr>
      </w:pPr>
    </w:p>
    <w:p w14:paraId="7BE693E0">
      <w:pPr>
        <w:pStyle w:val="4"/>
        <w:ind w:left="2410" w:firstLine="1746"/>
        <w:rPr>
          <w:rFonts w:hint="default" w:ascii="TH Sarabun New" w:hAnsi="TH Sarabun New" w:cs="TH Sarabun New"/>
          <w:sz w:val="32"/>
          <w:szCs w:val="32"/>
        </w:rPr>
      </w:pPr>
      <w:r>
        <w:rPr>
          <w:rFonts w:hint="default" w:ascii="TH Sarabun New" w:hAnsi="TH Sarabun New" w:cs="TH Sarabun New"/>
          <w:sz w:val="32"/>
          <w:szCs w:val="32"/>
        </w:rPr>
        <w:t>(</w:t>
      </w:r>
      <w:r>
        <w:rPr>
          <w:rFonts w:hint="default" w:ascii="TH Sarabun New" w:hAnsi="TH Sarabun New"/>
          <w:sz w:val="32"/>
          <w:szCs w:val="32"/>
        </w:rPr>
        <w:t>Kittipong Promsuwan</w:t>
      </w:r>
      <w:r>
        <w:rPr>
          <w:rFonts w:hint="default" w:ascii="TH Sarabun New" w:hAnsi="TH Sarabun New" w:cs="TH Sarabun New"/>
          <w:sz w:val="32"/>
          <w:szCs w:val="32"/>
        </w:rPr>
        <w:t xml:space="preserve">)       </w:t>
      </w:r>
    </w:p>
    <w:p w14:paraId="40299E5D">
      <w:pPr>
        <w:pStyle w:val="4"/>
        <w:ind w:left="2410"/>
        <w:rPr>
          <w:rFonts w:hint="default" w:ascii="TH Sarabun New" w:hAnsi="TH Sarabun New" w:cs="TH Sarabun New"/>
          <w:sz w:val="32"/>
          <w:szCs w:val="32"/>
          <w:lang w:bidi="th-TH"/>
        </w:rPr>
      </w:pPr>
      <w:r>
        <w:rPr>
          <w:rFonts w:hint="default" w:ascii="TH Sarabun New" w:hAnsi="TH Sarabun New" w:cs="TH Sarabun New"/>
          <w:sz w:val="32"/>
          <w:szCs w:val="32"/>
        </w:rPr>
        <w:t>Superintendent</w:t>
      </w:r>
      <w:r>
        <w:rPr>
          <w:rFonts w:hint="default" w:ascii="TH Sarabun New" w:hAnsi="TH Sarabun New" w:cs="TH Sarabun New"/>
          <w:sz w:val="36"/>
          <w:szCs w:val="36"/>
        </w:rPr>
        <w:t xml:space="preserve"> </w:t>
      </w:r>
      <w:r>
        <w:rPr>
          <w:rFonts w:hint="default" w:ascii="TH Sarabun New" w:hAnsi="TH Sarabun New" w:cs="TH Sarabun New"/>
          <w:sz w:val="32"/>
          <w:szCs w:val="32"/>
        </w:rPr>
        <w:t xml:space="preserve">of </w:t>
      </w:r>
      <w:r>
        <w:rPr>
          <w:rFonts w:hint="default" w:ascii="TH Sarabun New" w:hAnsi="TH Sarabun New" w:cs="TH Sarabun New"/>
          <w:sz w:val="32"/>
          <w:szCs w:val="32"/>
          <w:lang w:val="en-US"/>
        </w:rPr>
        <w:t>Nahaeo</w:t>
      </w:r>
      <w:r>
        <w:rPr>
          <w:rFonts w:hint="default" w:ascii="TH Sarabun New" w:hAnsi="TH Sarabun New" w:cs="TH Sarabun New"/>
          <w:sz w:val="32"/>
          <w:szCs w:val="32"/>
        </w:rPr>
        <w:t xml:space="preserve"> Provincial Police Station                               </w:t>
      </w:r>
    </w:p>
    <w:sectPr>
      <w:pgSz w:w="11906" w:h="16838"/>
      <w:pgMar w:top="1440" w:right="1440" w:bottom="1418"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TH Sarabun PSK">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ordia New">
    <w:panose1 w:val="020B0304020202020204"/>
    <w:charset w:val="00"/>
    <w:family w:val="swiss"/>
    <w:pitch w:val="default"/>
    <w:sig w:usb0="81000003" w:usb1="00000000" w:usb2="00000000" w:usb3="00000000" w:csb0="00010001" w:csb1="00000000"/>
  </w:font>
  <w:font w:name="Angsana New">
    <w:panose1 w:val="02020603050405020304"/>
    <w:charset w:val="00"/>
    <w:family w:val="roman"/>
    <w:pitch w:val="default"/>
    <w:sig w:usb0="81000003" w:usb1="00000000" w:usb2="00000000" w:usb3="00000000" w:csb0="00010001" w:csb1="00000000"/>
  </w:font>
  <w:font w:name="TH Sarabun New">
    <w:altName w:val="TH SarabunIT๙"/>
    <w:panose1 w:val="020B0500040200020003"/>
    <w:charset w:val="00"/>
    <w:family w:val="auto"/>
    <w:pitch w:val="default"/>
    <w:sig w:usb0="00000000" w:usb1="00000000" w:usb2="00000000" w:usb3="00000000" w:csb0="60010183" w:csb1="80000000"/>
  </w:font>
  <w:font w:name="TH SarabunPSK">
    <w:altName w:val="TH SarabunIT๙"/>
    <w:panose1 w:val="020B0500040200020003"/>
    <w:charset w:val="00"/>
    <w:family w:val="swiss"/>
    <w:pitch w:val="default"/>
    <w:sig w:usb0="00000000" w:usb1="00000000" w:usb2="00000000" w:usb3="00000000" w:csb0="00010183" w:csb1="00000000"/>
  </w:font>
  <w:font w:name="TH SarabunIT๙">
    <w:panose1 w:val="020B0500040200020003"/>
    <w:charset w:val="00"/>
    <w:family w:val="auto"/>
    <w:pitch w:val="default"/>
    <w:sig w:usb0="A100006F" w:usb1="5000205A" w:usb2="00000000" w:usb3="00000000" w:csb0="60010183" w:csb1="8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applyBreakingRules/>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4C3"/>
    <w:rsid w:val="00002106"/>
    <w:rsid w:val="000040FB"/>
    <w:rsid w:val="000214FA"/>
    <w:rsid w:val="00023F28"/>
    <w:rsid w:val="0003497B"/>
    <w:rsid w:val="0003788A"/>
    <w:rsid w:val="00063672"/>
    <w:rsid w:val="000670AD"/>
    <w:rsid w:val="000D1B64"/>
    <w:rsid w:val="000D63FD"/>
    <w:rsid w:val="00112FB5"/>
    <w:rsid w:val="0011700F"/>
    <w:rsid w:val="001227C3"/>
    <w:rsid w:val="00157D05"/>
    <w:rsid w:val="00172A96"/>
    <w:rsid w:val="00181C9D"/>
    <w:rsid w:val="00186B93"/>
    <w:rsid w:val="00192394"/>
    <w:rsid w:val="001E3928"/>
    <w:rsid w:val="001F1136"/>
    <w:rsid w:val="00252C9A"/>
    <w:rsid w:val="00261009"/>
    <w:rsid w:val="00267E49"/>
    <w:rsid w:val="002815BC"/>
    <w:rsid w:val="00296284"/>
    <w:rsid w:val="002C2EDA"/>
    <w:rsid w:val="002D7D38"/>
    <w:rsid w:val="00306C48"/>
    <w:rsid w:val="00320AAA"/>
    <w:rsid w:val="00331107"/>
    <w:rsid w:val="00352C95"/>
    <w:rsid w:val="0036015D"/>
    <w:rsid w:val="003625FC"/>
    <w:rsid w:val="00367199"/>
    <w:rsid w:val="003C5BA2"/>
    <w:rsid w:val="003D308C"/>
    <w:rsid w:val="00491D50"/>
    <w:rsid w:val="004B4711"/>
    <w:rsid w:val="004C2947"/>
    <w:rsid w:val="004E2BC1"/>
    <w:rsid w:val="00523E40"/>
    <w:rsid w:val="0052465D"/>
    <w:rsid w:val="00525A38"/>
    <w:rsid w:val="0054317B"/>
    <w:rsid w:val="0054345E"/>
    <w:rsid w:val="00557336"/>
    <w:rsid w:val="0057501A"/>
    <w:rsid w:val="00576394"/>
    <w:rsid w:val="005B247F"/>
    <w:rsid w:val="00614812"/>
    <w:rsid w:val="006353B6"/>
    <w:rsid w:val="0063782D"/>
    <w:rsid w:val="00696883"/>
    <w:rsid w:val="006A064B"/>
    <w:rsid w:val="007053F1"/>
    <w:rsid w:val="007864C3"/>
    <w:rsid w:val="007951E6"/>
    <w:rsid w:val="007A5A25"/>
    <w:rsid w:val="007C39AB"/>
    <w:rsid w:val="007D4665"/>
    <w:rsid w:val="007E7DFB"/>
    <w:rsid w:val="00860430"/>
    <w:rsid w:val="008C3C93"/>
    <w:rsid w:val="008E0F7E"/>
    <w:rsid w:val="00930D58"/>
    <w:rsid w:val="00953682"/>
    <w:rsid w:val="00973B99"/>
    <w:rsid w:val="009829B4"/>
    <w:rsid w:val="009943C6"/>
    <w:rsid w:val="009D5271"/>
    <w:rsid w:val="00A234E2"/>
    <w:rsid w:val="00A23940"/>
    <w:rsid w:val="00A25E7F"/>
    <w:rsid w:val="00A33542"/>
    <w:rsid w:val="00A8074E"/>
    <w:rsid w:val="00A84FE8"/>
    <w:rsid w:val="00B122F3"/>
    <w:rsid w:val="00B26F8F"/>
    <w:rsid w:val="00B86A5F"/>
    <w:rsid w:val="00B930F8"/>
    <w:rsid w:val="00C137A3"/>
    <w:rsid w:val="00C17DB0"/>
    <w:rsid w:val="00C461BE"/>
    <w:rsid w:val="00CB38F0"/>
    <w:rsid w:val="00CE5B89"/>
    <w:rsid w:val="00D0234F"/>
    <w:rsid w:val="00D34AC6"/>
    <w:rsid w:val="00D65890"/>
    <w:rsid w:val="00D80918"/>
    <w:rsid w:val="00D95B83"/>
    <w:rsid w:val="00DA6490"/>
    <w:rsid w:val="00DE2B06"/>
    <w:rsid w:val="00E11CBE"/>
    <w:rsid w:val="00E8489A"/>
    <w:rsid w:val="00EF0623"/>
    <w:rsid w:val="00F26448"/>
    <w:rsid w:val="00F2709E"/>
    <w:rsid w:val="00F36DE9"/>
    <w:rsid w:val="00F50BCD"/>
    <w:rsid w:val="00F57841"/>
    <w:rsid w:val="00F80882"/>
    <w:rsid w:val="00F836A0"/>
    <w:rsid w:val="00F83A3C"/>
    <w:rsid w:val="00FD6CF2"/>
    <w:rsid w:val="00FF414C"/>
    <w:rsid w:val="0C983FDB"/>
    <w:rsid w:val="21C06D1D"/>
    <w:rsid w:val="2B4271C2"/>
    <w:rsid w:val="39B04B78"/>
    <w:rsid w:val="3A885843"/>
    <w:rsid w:val="427500D5"/>
    <w:rsid w:val="4ECC4230"/>
    <w:rsid w:val="5D341E18"/>
    <w:rsid w:val="67423EF2"/>
    <w:rsid w:val="71672C2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8"/>
      <w:lang w:val="en-US" w:eastAsia="en-US" w:bidi="th-TH"/>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envelope return"/>
    <w:basedOn w:val="1"/>
    <w:qFormat/>
    <w:uiPriority w:val="0"/>
    <w:pPr>
      <w:spacing w:after="0" w:line="240" w:lineRule="auto"/>
    </w:pPr>
    <w:rPr>
      <w:rFonts w:ascii="Cordia New" w:hAnsi="Cordia New" w:eastAsia="Cordia New" w:cs="Angsana New"/>
      <w:sz w:val="28"/>
    </w:rPr>
  </w:style>
  <w:style w:type="character" w:styleId="5">
    <w:name w:val="Hyperlink"/>
    <w:basedOn w:val="2"/>
    <w:unhideWhenUsed/>
    <w:qFormat/>
    <w:uiPriority w:val="99"/>
    <w:rPr>
      <w:color w:val="0000FF" w:themeColor="hyperlink"/>
      <w:u w:val="single"/>
      <w14:textFill>
        <w14:solidFill>
          <w14:schemeClr w14:val="hlink"/>
        </w14:solidFill>
      </w14:textFill>
    </w:rPr>
  </w:style>
  <w:style w:type="paragraph" w:styleId="6">
    <w:name w:val="List Paragraph"/>
    <w:basedOn w:val="1"/>
    <w:link w:val="7"/>
    <w:qFormat/>
    <w:uiPriority w:val="34"/>
    <w:pPr>
      <w:ind w:left="720"/>
      <w:contextualSpacing/>
    </w:pPr>
  </w:style>
  <w:style w:type="character" w:customStyle="1" w:styleId="7">
    <w:name w:val="ย่อหน้ารายการ อักขระ"/>
    <w:link w:val="6"/>
    <w:qFormat/>
    <w:locked/>
    <w:uiPriority w:val="34"/>
  </w:style>
  <w:style w:type="character" w:customStyle="1" w:styleId="8">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microsoft.com/office/2007/relationships/hdphoto" Target="media/image3.wdp"/><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455EF-83DE-4EE6-B987-F36A894D0DC3}">
  <ds:schemaRefs/>
</ds:datastoreItem>
</file>

<file path=docProps/app.xml><?xml version="1.0" encoding="utf-8"?>
<Properties xmlns="http://schemas.openxmlformats.org/officeDocument/2006/extended-properties" xmlns:vt="http://schemas.openxmlformats.org/officeDocument/2006/docPropsVTypes">
  <Template>Normal</Template>
  <Pages>5</Pages>
  <Words>1767</Words>
  <Characters>10055</Characters>
  <Lines>63</Lines>
  <Paragraphs>18</Paragraphs>
  <TotalTime>1</TotalTime>
  <ScaleCrop>false</ScaleCrop>
  <LinksUpToDate>false</LinksUpToDate>
  <CharactersWithSpaces>11799</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2024-12-03T08:46:00Z</dcterms:created>
  <dc:creator>Mananchaya Meeying</dc:creator>
  <cp:lastModifiedBy>WPS_1707897342</cp:lastModifiedBy>
  <cp:lastPrinted>2024-12-11T03:29:00Z</cp:lastPrinted>
  <dcterms:modified xsi:type="dcterms:W3CDTF">2026-06-30T02:52:00Z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b32c6bcdd7214762a298128617ccc4262b0a8aadeced1689cbda047283318cf7</vt:lpwstr>
  </property>
  <property fmtid="{D5CDD505-2E9C-101B-9397-08002B2CF9AE}" pid="3" name="KSOProductBuildVer">
    <vt:lpwstr>1033-12.1.0.26880</vt:lpwstr>
  </property>
  <property fmtid="{D5CDD505-2E9C-101B-9397-08002B2CF9AE}" pid="4" name="ICV">
    <vt:lpwstr>9524912853444043B200B550BA43F7F7_13</vt:lpwstr>
  </property>
  <property fmtid="{D5CDD505-2E9C-101B-9397-08002B2CF9AE}" pid="5" name="KSOTemplateDocerSaveRecord">
    <vt:lpwstr>eyJoZGlkIjoiNWNlMGYyZmUyMjQ0M2I3NDk5Mzg0NGVhY2NhMWU1ZDciLCJ1c2VySWQiOiI4ODEzNzg2NjAwMjM3In0=</vt:lpwstr>
  </property>
</Properties>
</file>